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rtl w:val="0"/>
          <w:lang w:val="en-US"/>
          <w14:textFill>
            <w14:solidFill>
              <w14:srgbClr w14:val="5E5E5E"/>
            </w14:solidFill>
          </w14:textFill>
        </w:rPr>
        <w:t>Washing Hands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Keep natural nails short and do not wear false nails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Do not use hot water to rinse your hands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Wet hands with water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Apply enough soap, in a cupped hand, to cover all surfaces of the hands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hands palm to palm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right palm over left dorsum with interlaced fingers and vice versa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palm to palm with fingers interlaced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Rub backs of fingers to opposing palms with fingers interlocked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Rotational rubbing of left thumb clasped in right palm and vice versa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Rotational rubbing, backward and forward with clasped fingers of right hand in left palm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and vice versa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Rinse hands with hands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Dry hands thoroughly with a single use towel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Use towel to turn off faucet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Your hands are safe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60" w:line="278" w:lineRule="auto"/>
        <w:ind w:right="648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Let your hands completely dry before putting on gloves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4"/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