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Arial" w:cs="Arial" w:hAnsi="Arial" w:eastAsia="Arial"/>
          <w:b w:val="1"/>
          <w:bCs w:val="1"/>
          <w:outline w:val="0"/>
          <w:color w:val="5e5e5e"/>
          <w:sz w:val="70"/>
          <w:szCs w:val="70"/>
          <w14:textFill>
            <w14:solidFill>
              <w14:srgbClr w14:val="5E5E5E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e5e5e"/>
          <w:sz w:val="70"/>
          <w:szCs w:val="70"/>
          <w:rtl w:val="0"/>
          <w:lang w:val="en-US"/>
          <w14:textFill>
            <w14:solidFill>
              <w14:srgbClr w14:val="5E5E5E"/>
            </w14:solidFill>
          </w14:textFill>
        </w:rPr>
        <w:t>Hospitalising MRSA Patients</w:t>
      </w:r>
    </w:p>
    <w:p>
      <w:pPr>
        <w:pStyle w:val="Body"/>
        <w:rPr>
          <w:rFonts w:ascii="Arial" w:cs="Arial" w:hAnsi="Arial" w:eastAsia="Arial"/>
          <w:b w:val="1"/>
          <w:bCs w:val="1"/>
          <w:sz w:val="52"/>
          <w:szCs w:val="52"/>
        </w:rPr>
      </w:pPr>
      <w:r>
        <w:rPr>
          <w:rFonts w:ascii="Arial" w:hAnsi="Arial"/>
          <w:b w:val="1"/>
          <w:bCs w:val="1"/>
          <w:sz w:val="52"/>
          <w:szCs w:val="52"/>
          <w:rtl w:val="0"/>
          <w:lang w:val="en-US"/>
        </w:rPr>
        <w:t>Standard Operating Procedure</w:t>
      </w:r>
    </w:p>
    <w:p>
      <w:pPr>
        <w:pStyle w:val="Default"/>
        <w:widowControl w:val="0"/>
        <w:tabs>
          <w:tab w:val="left" w:pos="456"/>
        </w:tabs>
        <w:spacing w:before="260" w:line="276" w:lineRule="auto"/>
        <w:ind w:left="0" w:right="109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lang w:val="en-US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en-US"/>
        </w:rPr>
        <w:t>Hospitalisation of patients with MRSA</w:t>
      </w:r>
    </w:p>
    <w:p>
      <w:pPr>
        <w:pStyle w:val="Default"/>
        <w:widowControl w:val="0"/>
        <w:numPr>
          <w:ilvl w:val="0"/>
          <w:numId w:val="2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Patients with MRSA should be isolated and hospitalised in isolation, with no other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patients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One kennel nurse should be assigned to caring for the patient, any staff with open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wounds should not come into contact with the patient.</w:t>
      </w:r>
    </w:p>
    <w:p>
      <w:pPr>
        <w:pStyle w:val="Default"/>
        <w:widowControl w:val="0"/>
        <w:numPr>
          <w:ilvl w:val="0"/>
          <w:numId w:val="2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Staff contact should be limited to what is essential.</w:t>
      </w:r>
    </w:p>
    <w:p>
      <w:pPr>
        <w:pStyle w:val="Default"/>
        <w:widowControl w:val="0"/>
        <w:numPr>
          <w:ilvl w:val="0"/>
          <w:numId w:val="2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Barrier nursing should be adhered to at all times.</w:t>
      </w:r>
    </w:p>
    <w:p>
      <w:pPr>
        <w:pStyle w:val="Default"/>
        <w:widowControl w:val="0"/>
        <w:numPr>
          <w:ilvl w:val="0"/>
          <w:numId w:val="2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Refer to SOP Barrier nursing and appendix A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spacing w:before="260" w:line="240" w:lineRule="auto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Appendix A - </w:t>
      </w: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Disinfectants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We use Anigene as our disinfectant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It is made up daily for kennels and cattery in yellow buckets at a concentration rate of 1:100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(10ml Anigene to 1ltr water)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We have spray bottles with 1:100 concentration in consult rooms, pharmacy, prep room, dental,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laboratory, kennels, cattery, radiography, theatres. It is used to clean surfaces between each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patient.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We use a concentration on 1:100 to clean all floors, made up daily and disposed of correctly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at the end of the day.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Yellow bucket and yellow mops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: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k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ennels, cattery, waiting roo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m.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Green bucket and green mops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: p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rep room, radiography, dental, scrub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Blue bucket and blue mops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: b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oth theatres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For cleaning isolation, we made up Anigene at a concentration of 1:50 in spray bottles, bucket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and mop bucket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Red bucket and red mops </w:t>
      </w:r>
      <w:r>
        <w:rPr>
          <w:rFonts w:ascii="Arial" w:hAnsi="Arial" w:hint="default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Isolation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Mop heads are wash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ed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in the washing machine at 60.c after each use.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Windows and glass are cleaned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with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Flash Anti-bac Plus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80" w:line="247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</w:p>
    <w:p>
      <w:pPr>
        <w:pStyle w:val="Default"/>
        <w:widowControl w:val="0"/>
        <w:tabs>
          <w:tab w:val="left" w:pos="456"/>
        </w:tabs>
        <w:spacing w:before="260" w:line="276" w:lineRule="auto"/>
        <w:ind w:left="0" w:right="109" w:firstLine="0"/>
        <w:jc w:val="left"/>
      </w:pPr>
      <w:r>
        <w:rPr>
          <w:rFonts w:ascii="Arial" w:hAnsi="Arial"/>
          <w:u w:color="000000"/>
          <w:rtl w:val="0"/>
          <w:lang w:val="en-US"/>
        </w:rPr>
        <w:t xml:space="preserve">Prepared by </w:t>
      </w:r>
      <w:r>
        <w:rPr>
          <w:rStyle w:val="Hyperlink.0"/>
          <w:rFonts w:ascii="Arial" w:cs="Arial" w:hAnsi="Arial" w:eastAsia="Arial"/>
          <w:u w:color="000000"/>
          <w:lang w:val="en-US"/>
        </w:rPr>
        <w:fldChar w:fldCharType="begin" w:fldLock="0"/>
      </w:r>
      <w:r>
        <w:rPr>
          <w:rStyle w:val="Hyperlink.0"/>
          <w:rFonts w:ascii="Arial" w:cs="Arial" w:hAnsi="Arial" w:eastAsia="Arial"/>
          <w:u w:color="000000"/>
          <w:lang w:val="en-US"/>
        </w:rPr>
        <w:instrText xml:space="preserve"> HYPERLINK "http://VetNurse.co.uk"</w:instrText>
      </w:r>
      <w:r>
        <w:rPr>
          <w:rStyle w:val="Hyperlink.0"/>
          <w:rFonts w:ascii="Arial" w:cs="Arial" w:hAnsi="Arial" w:eastAsia="Arial"/>
          <w:u w:color="000000"/>
          <w:lang w:val="en-US"/>
        </w:rPr>
        <w:fldChar w:fldCharType="separate" w:fldLock="0"/>
      </w:r>
      <w:r>
        <w:rPr>
          <w:rStyle w:val="Hyperlink.0"/>
          <w:rFonts w:ascii="Arial" w:hAnsi="Arial"/>
          <w:u w:color="000000"/>
          <w:rtl w:val="0"/>
          <w:lang w:val="en-US"/>
        </w:rPr>
        <w:t>VetNurse.co.uk</w:t>
      </w:r>
      <w:r>
        <w:rPr>
          <w:rFonts w:ascii="Arial" w:cs="Arial" w:hAnsi="Arial" w:eastAsia="Arial"/>
          <w:u w:color="000000"/>
          <w:lang w:val="en-US"/>
        </w:rPr>
        <w:fldChar w:fldCharType="end" w:fldLock="0"/>
      </w:r>
      <w:r>
        <w:rPr>
          <w:rFonts w:ascii="Arial" w:hAnsi="Arial"/>
          <w:u w:color="000000"/>
          <w:rtl w:val="0"/>
          <w:lang w:val="en-US"/>
        </w:rPr>
        <w:t>. V1. 26/9/2023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46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56"/>
        </w:tabs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56"/>
        </w:tabs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56"/>
        </w:tabs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56"/>
        </w:tabs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56"/>
        </w:tabs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56"/>
        </w:tabs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56"/>
        </w:tabs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56"/>
        </w:tabs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numbering" w:styleId="Numbered">
    <w:name w:val="Numbered"/>
    <w:pPr>
      <w:numPr>
        <w:numId w:val="3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