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2"/>
          <w:szCs w:val="82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2"/>
          <w:szCs w:val="82"/>
          <w:rtl w:val="0"/>
          <w:lang w:val="en-US"/>
          <w14:textFill>
            <w14:solidFill>
              <w14:srgbClr w14:val="5E5E5E"/>
            </w14:solidFill>
          </w14:textFill>
        </w:rPr>
        <w:t>Cleaning the Prep Room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Daily in house cleaning: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worktops and cupboard doors using an appropriate disinfectant (see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tables, table legs and underneath tables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using an appropriate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disinfectant (see appendix A)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windows and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glass using glass cleaner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ep the floor and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mop using an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. Use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 brush in prep room and the green mop bucket.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Empty c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linical waste bins daily and sen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d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for incineration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Empty 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ormal waste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for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collect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ion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once every 3 weeks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Sharps bin and 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OOPs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bin are collected when full and replaced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sinks, tiles and grout using a cream cleaner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Refill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ibiscrub, spirit and disinfectant bottles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Weigh the F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lurasorb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Refill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consumables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>Weekly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 xml:space="preserve"> in house cleaning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Wipe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walls down with an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Weigh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lurasorb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>Monthly in house cleaning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y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, clean and organise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the cupboards.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ismantle and clean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scavenging air cylinders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air conditioning unit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Appendix A - 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Disinfectants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Anigene as our disinfectant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(10ml Anigene to 1ltr water)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patient.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 the end of the day.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Yellow bucket and yellow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ennels, cattery, waiting roo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Green bucket and green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p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rep room, radiography, dental, scrub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Blue bucket and blue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oth theatres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mop bucket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Red bucket and red mops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Isolation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Mop heads are wash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 the washing machine at 60.c after each use.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lean all windows and glass daily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Flash Anti-bac Plus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tabs>
          <w:tab w:val="left" w:pos="456"/>
        </w:tabs>
        <w:bidi w:val="0"/>
        <w:spacing w:before="260" w:line="276" w:lineRule="auto"/>
        <w:ind w:left="0" w:right="109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sz w:val="28"/>
          <w:szCs w:val="28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sz w:val="28"/>
          <w:szCs w:val="28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sz w:val="28"/>
          <w:szCs w:val="28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sz w:val="28"/>
          <w:szCs w:val="28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sz w:val="28"/>
          <w:szCs w:val="28"/>
          <w:u w:color="000000"/>
          <w:lang w:val="en-US"/>
        </w:rPr>
        <w:fldChar w:fldCharType="end" w:fldLock="0"/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