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72"/>
          <w:szCs w:val="72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72"/>
          <w:szCs w:val="72"/>
          <w:rtl w:val="0"/>
          <w:lang w:val="en-US"/>
          <w14:textFill>
            <w14:solidFill>
              <w14:srgbClr w14:val="5E5E5E"/>
            </w14:solidFill>
          </w14:textFill>
        </w:rPr>
        <w:t>Cleaning Kennels &amp; Cattery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Bins are to be emptied daily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normal and clinical waste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and disinfect the walls daily with Anigene diluted to 1:100 with warm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water (1:50 for isolation)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and disinfect the sink and floors with Anigene 1:100 with warm water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(1:50 for isolation). Replace the mop head daily.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Restock the consumables (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ibiscrub, cotton wool, disposable gloves, etc)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Restock the diets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all surfaces (door, door handles, computer keyboard, mouse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and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light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fixtures with Anigene diluted to 1:100 (1:50 for isolation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).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the windows and glass with Flash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Wash all bedding at 60c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each kennel, including the kennel doors with 1:100 Anigene (1:50 for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isolation). Follow SOP for cleaning a kennel.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Either dry the kennel with paper towel or leave to air dry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Line the kennel with newspaper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Place a clean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V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etbed (white for dogs, purple/blue for cats, grey for isolation)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and disinfect feeding bowls and utensils after each use - Clean with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ibiscrub and warm water, let soak in Angiene 1:100 (1:50 for isolation),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rinse with water warm, drain and put away. Metal bowls can be sterilised in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 autoclave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Apply alcohol hand rub after handling each patient using the WHO method.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Put 5l diluted Anigene 1:100 (1:50 for isolation) down each drain in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kennels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(3 in kennels, 1 in isolation) weekly.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